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A37" w:rsidRDefault="00072A37" w:rsidP="00072A37">
      <w:pPr>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UZUNLUK ÖLÇME ALETLERİ</w:t>
      </w:r>
    </w:p>
    <w:p w:rsidR="00F25CD0" w:rsidRPr="00072A37" w:rsidRDefault="00072A37" w:rsidP="00072A37">
      <w:pPr>
        <w:pStyle w:val="ListeParagraf"/>
        <w:numPr>
          <w:ilvl w:val="0"/>
          <w:numId w:val="1"/>
        </w:numPr>
        <w:jc w:val="both"/>
        <w:rPr>
          <w:rFonts w:ascii="Times New Roman" w:hAnsi="Times New Roman" w:cs="Times New Roman"/>
          <w:b/>
          <w:bCs/>
          <w:color w:val="000000"/>
          <w:sz w:val="28"/>
          <w:szCs w:val="28"/>
        </w:rPr>
      </w:pPr>
      <w:r w:rsidRPr="00072A37">
        <w:rPr>
          <w:rFonts w:ascii="Times New Roman" w:hAnsi="Times New Roman" w:cs="Times New Roman"/>
          <w:b/>
          <w:bCs/>
          <w:color w:val="000000"/>
          <w:sz w:val="28"/>
          <w:szCs w:val="28"/>
        </w:rPr>
        <w:t>Çelik Cetveller</w:t>
      </w:r>
    </w:p>
    <w:p w:rsidR="00072A37" w:rsidRDefault="00072A37" w:rsidP="00072A37">
      <w:pPr>
        <w:jc w:val="both"/>
      </w:pPr>
      <w:r>
        <w:t>Çelik cetvel ile çabuk ve kolay ölçme yapılabilir. Çelik cetveller 15 cm ile 100 cm arasında imal edilmişlerdir.</w:t>
      </w:r>
    </w:p>
    <w:p w:rsidR="00072A37" w:rsidRDefault="00072A37" w:rsidP="00072A37">
      <w:pPr>
        <w:jc w:val="center"/>
      </w:pPr>
      <w:r>
        <w:rPr>
          <w:noProof/>
          <w:lang w:eastAsia="tr-TR"/>
        </w:rPr>
        <w:drawing>
          <wp:inline distT="0" distB="0" distL="0" distR="0">
            <wp:extent cx="3115562" cy="1075266"/>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6038" cy="1075430"/>
                    </a:xfrm>
                    <a:prstGeom prst="rect">
                      <a:avLst/>
                    </a:prstGeom>
                    <a:noFill/>
                    <a:ln>
                      <a:noFill/>
                    </a:ln>
                  </pic:spPr>
                </pic:pic>
              </a:graphicData>
            </a:graphic>
          </wp:inline>
        </w:drawing>
      </w:r>
    </w:p>
    <w:p w:rsidR="00072A37" w:rsidRDefault="00072A37" w:rsidP="00072A37">
      <w:pPr>
        <w:jc w:val="both"/>
      </w:pPr>
      <w:r>
        <w:t>Çelik cetvellerde ölçüyü okumak kadar ölçü almak da son derece önemlidir. Çelik cetvellerin sıfır çizgisi ölçünün başlangıç ucudur. Parça üzerinde dayanma yüzeyi varsa cetvelin uç kısmı buraya dayatılır. Eğer dayanma yüzeyi yoksa cetvel ucu parça ile aynı hizaya yerleştirilir. Başparmağımızın tırnağı ile cetvel üzerindeki bitiş çizgisi belirlenir.</w:t>
      </w:r>
    </w:p>
    <w:p w:rsidR="00072A37" w:rsidRPr="00072A37" w:rsidRDefault="00072A37" w:rsidP="00072A37">
      <w:pPr>
        <w:pStyle w:val="ListeParagraf"/>
        <w:numPr>
          <w:ilvl w:val="0"/>
          <w:numId w:val="1"/>
        </w:numPr>
        <w:jc w:val="both"/>
        <w:rPr>
          <w:b/>
          <w:bCs/>
        </w:rPr>
      </w:pPr>
      <w:proofErr w:type="spellStart"/>
      <w:r w:rsidRPr="00072A37">
        <w:rPr>
          <w:b/>
          <w:bCs/>
        </w:rPr>
        <w:t>Sentiller</w:t>
      </w:r>
      <w:proofErr w:type="spellEnd"/>
    </w:p>
    <w:p w:rsidR="00072A37" w:rsidRDefault="00072A37" w:rsidP="00072A37">
      <w:pPr>
        <w:ind w:firstLine="360"/>
        <w:jc w:val="both"/>
      </w:pPr>
      <w:r>
        <w:t xml:space="preserve">Belirli kalınlıklarda ince, esnek, çelikten yapılmış yapraklardır. </w:t>
      </w:r>
      <w:proofErr w:type="spellStart"/>
      <w:r>
        <w:t>S</w:t>
      </w:r>
      <w:r>
        <w:t>entil</w:t>
      </w:r>
      <w:proofErr w:type="spellEnd"/>
      <w:r>
        <w:t xml:space="preserve"> yaprakları ile 0,05 mm’den 1 mm’ye kadar olan kalınlıklarda hassas ölçümler yapılabilir. Supap boşluğu, buji tırnak aralığı ve hassas olarak birleştirilen diğer motor parçaları arasındaki boşlukları ölçmek, kontrol etmek ve ayarlamak için kullanılır.</w:t>
      </w:r>
    </w:p>
    <w:p w:rsidR="00072A37" w:rsidRDefault="00072A37" w:rsidP="00072A37">
      <w:pPr>
        <w:ind w:firstLine="360"/>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2773785" cy="1100667"/>
            <wp:effectExtent l="0" t="0" r="762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748" cy="1103827"/>
                    </a:xfrm>
                    <a:prstGeom prst="rect">
                      <a:avLst/>
                    </a:prstGeom>
                    <a:noFill/>
                    <a:ln>
                      <a:noFill/>
                    </a:ln>
                  </pic:spPr>
                </pic:pic>
              </a:graphicData>
            </a:graphic>
          </wp:inline>
        </w:drawing>
      </w:r>
    </w:p>
    <w:p w:rsidR="00072A37" w:rsidRPr="00072A37" w:rsidRDefault="00072A37" w:rsidP="00072A37">
      <w:pPr>
        <w:pStyle w:val="ListeParagraf"/>
        <w:numPr>
          <w:ilvl w:val="0"/>
          <w:numId w:val="1"/>
        </w:numPr>
        <w:rPr>
          <w:rFonts w:ascii="Times New Roman" w:hAnsi="Times New Roman" w:cs="Times New Roman"/>
          <w:b/>
          <w:bCs/>
          <w:color w:val="000000"/>
          <w:sz w:val="28"/>
          <w:szCs w:val="28"/>
        </w:rPr>
      </w:pPr>
      <w:r w:rsidRPr="00072A37">
        <w:rPr>
          <w:b/>
          <w:bCs/>
          <w:sz w:val="23"/>
          <w:szCs w:val="23"/>
        </w:rPr>
        <w:t>Sürmeli Kumpaslar</w:t>
      </w:r>
    </w:p>
    <w:p w:rsidR="00072A37" w:rsidRDefault="00072A37" w:rsidP="00072A37">
      <w:pPr>
        <w:pStyle w:val="ListeParagraf"/>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5757333" cy="15748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75726"/>
                    </a:xfrm>
                    <a:prstGeom prst="rect">
                      <a:avLst/>
                    </a:prstGeom>
                    <a:noFill/>
                    <a:ln>
                      <a:noFill/>
                    </a:ln>
                  </pic:spPr>
                </pic:pic>
              </a:graphicData>
            </a:graphic>
          </wp:inline>
        </w:drawing>
      </w:r>
    </w:p>
    <w:p w:rsidR="00072A37" w:rsidRDefault="00072A37" w:rsidP="00072A37">
      <w:pPr>
        <w:ind w:firstLine="708"/>
      </w:pPr>
      <w:r>
        <w:t xml:space="preserve">Daha hassas ölçülerin alınmasında kullanılan </w:t>
      </w:r>
      <w:proofErr w:type="spellStart"/>
      <w:r>
        <w:t>verniyer</w:t>
      </w:r>
      <w:proofErr w:type="spellEnd"/>
      <w:r>
        <w:t xml:space="preserve"> </w:t>
      </w:r>
      <w:proofErr w:type="spellStart"/>
      <w:r>
        <w:t>bölüntülü</w:t>
      </w:r>
      <w:proofErr w:type="spellEnd"/>
      <w:r>
        <w:t xml:space="preserve"> hassas bir ölçme aletidir. Derinlik, uzunluk, dış ve iç çap ölçmek amacıyla kullanılır. Kumpaslar ile milimetrenin 1/50’ye varan ölçüleri okunabilir, hatta dijital kumpaslarla bu oran 1/100 ölçüsüne çekilmiştir. Kumpasların birçok çeşidi vardır. Hepsinin de ortak görevi daha hassas bir ölçüm yapmaktır.</w:t>
      </w:r>
    </w:p>
    <w:p w:rsidR="00072A37" w:rsidRDefault="00072A37" w:rsidP="00072A3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lastRenderedPageBreak/>
        <w:drawing>
          <wp:inline distT="0" distB="0" distL="0" distR="0">
            <wp:extent cx="4792133" cy="1659466"/>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345" cy="1659539"/>
                    </a:xfrm>
                    <a:prstGeom prst="rect">
                      <a:avLst/>
                    </a:prstGeom>
                    <a:noFill/>
                    <a:ln>
                      <a:noFill/>
                    </a:ln>
                  </pic:spPr>
                </pic:pic>
              </a:graphicData>
            </a:graphic>
          </wp:inline>
        </w:drawing>
      </w: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Times New Roman" w:hAnsi="Times New Roman" w:cs="Times New Roman"/>
          <w:b/>
          <w:bCs/>
          <w:color w:val="000000"/>
        </w:rPr>
        <w:t xml:space="preserve">Kumpas İle Ölçü Alırken Dikkat Edilmesi Gereken Hususlar </w:t>
      </w:r>
    </w:p>
    <w:p w:rsidR="00072A37" w:rsidRPr="00072A37" w:rsidRDefault="00072A37" w:rsidP="00072A37">
      <w:pPr>
        <w:autoSpaceDE w:val="0"/>
        <w:autoSpaceDN w:val="0"/>
        <w:adjustRightInd w:val="0"/>
        <w:spacing w:after="4"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Parça üzerindeki çapaklar ve benzeri maddeler temizlenir. </w:t>
      </w:r>
    </w:p>
    <w:p w:rsidR="00072A37" w:rsidRPr="00072A37" w:rsidRDefault="00072A37" w:rsidP="00072A37">
      <w:pPr>
        <w:autoSpaceDE w:val="0"/>
        <w:autoSpaceDN w:val="0"/>
        <w:adjustRightInd w:val="0"/>
        <w:spacing w:after="4"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Hareketli çene başparmakla hareket ettirilerek parçaya yanaştırılır. </w:t>
      </w: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Ölçü alırken çenelerin yüzeylere paralel ve tam yapışması sağlanmalıdır. </w:t>
      </w:r>
    </w:p>
    <w:p w:rsidR="00072A37" w:rsidRPr="00072A37" w:rsidRDefault="00072A37" w:rsidP="00072A37">
      <w:pPr>
        <w:autoSpaceDE w:val="0"/>
        <w:autoSpaceDN w:val="0"/>
        <w:adjustRightInd w:val="0"/>
        <w:spacing w:after="6"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Küçük parçalar ölçülürken çenelerin orta kısmına yerleştirilir. </w:t>
      </w:r>
    </w:p>
    <w:p w:rsidR="00072A37" w:rsidRPr="00072A37" w:rsidRDefault="00072A37" w:rsidP="00072A37">
      <w:pPr>
        <w:autoSpaceDE w:val="0"/>
        <w:autoSpaceDN w:val="0"/>
        <w:adjustRightInd w:val="0"/>
        <w:spacing w:after="6"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İnce kanalların ve vida diş diplerinin ölçülmesinde çenelerin ince kısımlarından faydalanılır. </w:t>
      </w: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Wingdings" w:hAnsi="Wingdings" w:cs="Wingdings"/>
          <w:color w:val="000000"/>
        </w:rPr>
        <w:t></w:t>
      </w:r>
      <w:r w:rsidRPr="00072A37">
        <w:rPr>
          <w:rFonts w:ascii="Wingdings" w:hAnsi="Wingdings" w:cs="Wingdings"/>
          <w:color w:val="000000"/>
        </w:rPr>
        <w:t></w:t>
      </w:r>
      <w:r w:rsidRPr="00072A37">
        <w:rPr>
          <w:rFonts w:ascii="Times New Roman" w:hAnsi="Times New Roman" w:cs="Times New Roman"/>
          <w:color w:val="000000"/>
        </w:rPr>
        <w:t xml:space="preserve">İç çap veya iç ölçülerde, iç ölçü çeneleri kullanılır. </w:t>
      </w:r>
    </w:p>
    <w:p w:rsidR="00072A37" w:rsidRPr="00072A37" w:rsidRDefault="00072A37" w:rsidP="00072A37">
      <w:pPr>
        <w:autoSpaceDE w:val="0"/>
        <w:autoSpaceDN w:val="0"/>
        <w:adjustRightInd w:val="0"/>
        <w:spacing w:after="0" w:line="240" w:lineRule="auto"/>
        <w:rPr>
          <w:rFonts w:ascii="Times New Roman" w:hAnsi="Times New Roman" w:cs="Times New Roman"/>
          <w:color w:val="000000"/>
          <w:sz w:val="24"/>
          <w:szCs w:val="24"/>
        </w:rPr>
      </w:pP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Times New Roman" w:hAnsi="Times New Roman" w:cs="Times New Roman"/>
          <w:b/>
          <w:bCs/>
          <w:color w:val="000000"/>
        </w:rPr>
        <w:t>1/20 mm hassasiyetli kumpas</w:t>
      </w:r>
      <w:r>
        <w:rPr>
          <w:rFonts w:ascii="Times New Roman" w:hAnsi="Times New Roman" w:cs="Times New Roman"/>
          <w:b/>
          <w:bCs/>
          <w:color w:val="000000"/>
        </w:rPr>
        <w:t>ın okunuşu</w:t>
      </w: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Times New Roman" w:hAnsi="Times New Roman" w:cs="Times New Roman"/>
          <w:color w:val="000000"/>
        </w:rPr>
        <w:t xml:space="preserve">Bu kumpasların çeneleri kapandığında da sıfır çizgileri çakışır. Ana cetvel üzerindeki 19 </w:t>
      </w:r>
      <w:proofErr w:type="spellStart"/>
      <w:r w:rsidRPr="00072A37">
        <w:rPr>
          <w:rFonts w:ascii="Times New Roman" w:hAnsi="Times New Roman" w:cs="Times New Roman"/>
          <w:color w:val="000000"/>
        </w:rPr>
        <w:t>mm’lik</w:t>
      </w:r>
      <w:proofErr w:type="spellEnd"/>
      <w:r w:rsidRPr="00072A37">
        <w:rPr>
          <w:rFonts w:ascii="Times New Roman" w:hAnsi="Times New Roman" w:cs="Times New Roman"/>
          <w:color w:val="000000"/>
        </w:rPr>
        <w:t xml:space="preserve"> kısım sürgülü cetvelde 20 eşit parçaya bölünmüştür. Sürgülü cetvelde çizgilerin her birinin uzunluğu 0,05 mm kabul edilmiştir. </w:t>
      </w:r>
    </w:p>
    <w:p w:rsidR="00072A37" w:rsidRDefault="00072A37" w:rsidP="00072A37">
      <w:pPr>
        <w:ind w:firstLine="708"/>
        <w:rPr>
          <w:rFonts w:ascii="Times New Roman" w:hAnsi="Times New Roman" w:cs="Times New Roman"/>
          <w:color w:val="000000"/>
        </w:rPr>
      </w:pPr>
      <w:r w:rsidRPr="00072A37">
        <w:rPr>
          <w:rFonts w:ascii="Times New Roman" w:hAnsi="Times New Roman" w:cs="Times New Roman"/>
          <w:color w:val="000000"/>
        </w:rPr>
        <w:t>1/20’lik kumpasın hassasiyeti 19/20=0,95 mm ve 1-0,95=0,05 mm’dir.</w:t>
      </w:r>
    </w:p>
    <w:p w:rsidR="00072A37" w:rsidRDefault="00072A37" w:rsidP="00072A3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3877733" cy="1100666"/>
            <wp:effectExtent l="0" t="0" r="889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945" cy="1100726"/>
                    </a:xfrm>
                    <a:prstGeom prst="rect">
                      <a:avLst/>
                    </a:prstGeom>
                    <a:noFill/>
                    <a:ln>
                      <a:noFill/>
                    </a:ln>
                  </pic:spPr>
                </pic:pic>
              </a:graphicData>
            </a:graphic>
          </wp:inline>
        </w:drawing>
      </w:r>
    </w:p>
    <w:p w:rsidR="00072A37" w:rsidRPr="00072A37" w:rsidRDefault="00072A37" w:rsidP="00072A37">
      <w:pPr>
        <w:autoSpaceDE w:val="0"/>
        <w:autoSpaceDN w:val="0"/>
        <w:adjustRightInd w:val="0"/>
        <w:spacing w:after="0" w:line="240" w:lineRule="auto"/>
        <w:rPr>
          <w:rFonts w:ascii="Times New Roman" w:hAnsi="Times New Roman" w:cs="Times New Roman"/>
          <w:color w:val="000000"/>
        </w:rPr>
      </w:pPr>
      <w:r w:rsidRPr="00072A37">
        <w:rPr>
          <w:rFonts w:ascii="Times New Roman" w:hAnsi="Times New Roman" w:cs="Times New Roman"/>
          <w:color w:val="000000"/>
        </w:rPr>
        <w:t xml:space="preserve">Sürgülü cetveldeki 1 rakamı 0,10 mm’ </w:t>
      </w:r>
      <w:proofErr w:type="spellStart"/>
      <w:r w:rsidRPr="00072A37">
        <w:rPr>
          <w:rFonts w:ascii="Times New Roman" w:hAnsi="Times New Roman" w:cs="Times New Roman"/>
          <w:color w:val="000000"/>
        </w:rPr>
        <w:t>yi</w:t>
      </w:r>
      <w:proofErr w:type="spellEnd"/>
      <w:r w:rsidRPr="00072A37">
        <w:rPr>
          <w:rFonts w:ascii="Times New Roman" w:hAnsi="Times New Roman" w:cs="Times New Roman"/>
          <w:color w:val="000000"/>
        </w:rPr>
        <w:t xml:space="preserve">, 2 rakamı 0,20 mm’ </w:t>
      </w:r>
      <w:proofErr w:type="spellStart"/>
      <w:r w:rsidRPr="00072A37">
        <w:rPr>
          <w:rFonts w:ascii="Times New Roman" w:hAnsi="Times New Roman" w:cs="Times New Roman"/>
          <w:color w:val="000000"/>
        </w:rPr>
        <w:t>yi</w:t>
      </w:r>
      <w:proofErr w:type="spellEnd"/>
      <w:r w:rsidRPr="00072A37">
        <w:rPr>
          <w:rFonts w:ascii="Times New Roman" w:hAnsi="Times New Roman" w:cs="Times New Roman"/>
          <w:color w:val="000000"/>
        </w:rPr>
        <w:t xml:space="preserve"> gösterir. Bu rakamlar arasındaki çizgiler 0,05 </w:t>
      </w:r>
      <w:proofErr w:type="spellStart"/>
      <w:r w:rsidRPr="00072A37">
        <w:rPr>
          <w:rFonts w:ascii="Times New Roman" w:hAnsi="Times New Roman" w:cs="Times New Roman"/>
          <w:color w:val="000000"/>
        </w:rPr>
        <w:t>mm’liktir</w:t>
      </w:r>
      <w:proofErr w:type="spellEnd"/>
      <w:r w:rsidRPr="00072A37">
        <w:rPr>
          <w:rFonts w:ascii="Times New Roman" w:hAnsi="Times New Roman" w:cs="Times New Roman"/>
          <w:color w:val="000000"/>
        </w:rPr>
        <w:t xml:space="preserve">. </w:t>
      </w:r>
    </w:p>
    <w:p w:rsidR="00072A37" w:rsidRDefault="00072A37" w:rsidP="00072A37">
      <w:pPr>
        <w:ind w:firstLine="708"/>
        <w:rPr>
          <w:rFonts w:ascii="Times New Roman" w:hAnsi="Times New Roman" w:cs="Times New Roman"/>
          <w:color w:val="000000"/>
        </w:rPr>
      </w:pPr>
      <w:r w:rsidRPr="00072A37">
        <w:rPr>
          <w:rFonts w:ascii="Times New Roman" w:hAnsi="Times New Roman" w:cs="Times New Roman"/>
          <w:color w:val="000000"/>
        </w:rPr>
        <w:t>Sürgülü cetvelin sıfır çizgisi ana cetvelde hangi değeri geçmiş ise o değer tam kabul edilir. Küsuratı belirlemek için sürgülü cetvele bakılır. Sürgülü cetveldeki kaçıncı çizgi, ana cetvelden herhangi bir çizgiyle çakışmışsa 0,05 ile çarpılarak ölçünün küsuratı da bulunmuş olur.</w:t>
      </w:r>
    </w:p>
    <w:p w:rsidR="00072A37" w:rsidRDefault="00072A37" w:rsidP="00072A3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5664200" cy="92286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200" cy="922866"/>
                    </a:xfrm>
                    <a:prstGeom prst="rect">
                      <a:avLst/>
                    </a:prstGeom>
                    <a:noFill/>
                    <a:ln>
                      <a:noFill/>
                    </a:ln>
                  </pic:spPr>
                </pic:pic>
              </a:graphicData>
            </a:graphic>
          </wp:inline>
        </w:drawing>
      </w:r>
    </w:p>
    <w:p w:rsidR="009C0177" w:rsidRDefault="009C0177" w:rsidP="00072A3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5571067" cy="112579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372" cy="1125855"/>
                    </a:xfrm>
                    <a:prstGeom prst="rect">
                      <a:avLst/>
                    </a:prstGeom>
                    <a:noFill/>
                    <a:ln>
                      <a:noFill/>
                    </a:ln>
                  </pic:spPr>
                </pic:pic>
              </a:graphicData>
            </a:graphic>
          </wp:inline>
        </w:drawing>
      </w:r>
    </w:p>
    <w:p w:rsidR="009C0177" w:rsidRDefault="009C0177" w:rsidP="009C0177">
      <w:pPr>
        <w:autoSpaceDE w:val="0"/>
        <w:autoSpaceDN w:val="0"/>
        <w:adjustRightInd w:val="0"/>
        <w:spacing w:after="0" w:line="240" w:lineRule="auto"/>
        <w:rPr>
          <w:rFonts w:ascii="Times New Roman" w:hAnsi="Times New Roman" w:cs="Times New Roman"/>
          <w:b/>
          <w:bCs/>
          <w:color w:val="000000"/>
          <w:sz w:val="23"/>
          <w:szCs w:val="23"/>
        </w:rPr>
      </w:pPr>
    </w:p>
    <w:p w:rsidR="009C0177" w:rsidRPr="009C0177" w:rsidRDefault="009C0177" w:rsidP="009C0177">
      <w:pPr>
        <w:autoSpaceDE w:val="0"/>
        <w:autoSpaceDN w:val="0"/>
        <w:adjustRightInd w:val="0"/>
        <w:spacing w:after="0" w:line="240" w:lineRule="auto"/>
        <w:rPr>
          <w:rFonts w:ascii="Times New Roman" w:hAnsi="Times New Roman" w:cs="Times New Roman"/>
          <w:color w:val="000000"/>
          <w:sz w:val="23"/>
          <w:szCs w:val="23"/>
        </w:rPr>
      </w:pPr>
      <w:r w:rsidRPr="009C0177">
        <w:rPr>
          <w:rFonts w:ascii="Times New Roman" w:hAnsi="Times New Roman" w:cs="Times New Roman"/>
          <w:b/>
          <w:bCs/>
          <w:color w:val="000000"/>
          <w:sz w:val="23"/>
          <w:szCs w:val="23"/>
        </w:rPr>
        <w:lastRenderedPageBreak/>
        <w:t xml:space="preserve">Yüzey Kontrol Aletleri </w:t>
      </w:r>
    </w:p>
    <w:p w:rsidR="009C0177" w:rsidRDefault="009C0177" w:rsidP="009C0177">
      <w:pPr>
        <w:ind w:firstLine="708"/>
        <w:rPr>
          <w:rFonts w:ascii="Times New Roman" w:hAnsi="Times New Roman" w:cs="Times New Roman"/>
          <w:color w:val="000000"/>
        </w:rPr>
      </w:pPr>
      <w:r w:rsidRPr="009C0177">
        <w:rPr>
          <w:rFonts w:ascii="Times New Roman" w:hAnsi="Times New Roman" w:cs="Times New Roman"/>
          <w:color w:val="000000"/>
        </w:rPr>
        <w:t>Yüzeylerin düzgünlüğünü kontrol etmek amacıyla kullanılan aletlerdir. Bu amaçla motorculukta kullanılan malzemeler gönyeler ve mastarlardır.</w:t>
      </w:r>
    </w:p>
    <w:p w:rsidR="009C0177" w:rsidRPr="009C0177" w:rsidRDefault="009C0177" w:rsidP="009C0177">
      <w:pPr>
        <w:autoSpaceDE w:val="0"/>
        <w:autoSpaceDN w:val="0"/>
        <w:adjustRightInd w:val="0"/>
        <w:spacing w:after="0" w:line="240" w:lineRule="auto"/>
        <w:rPr>
          <w:rFonts w:ascii="Times New Roman" w:hAnsi="Times New Roman" w:cs="Times New Roman"/>
          <w:color w:val="000000"/>
        </w:rPr>
      </w:pPr>
      <w:r w:rsidRPr="009C0177">
        <w:rPr>
          <w:rFonts w:ascii="Times New Roman" w:hAnsi="Times New Roman" w:cs="Times New Roman"/>
          <w:b/>
          <w:bCs/>
          <w:color w:val="000000"/>
        </w:rPr>
        <w:t xml:space="preserve">Gönyeler </w:t>
      </w:r>
    </w:p>
    <w:p w:rsidR="009C0177" w:rsidRDefault="009C0177" w:rsidP="009C0177">
      <w:pPr>
        <w:ind w:firstLine="708"/>
        <w:rPr>
          <w:rFonts w:ascii="Times New Roman" w:hAnsi="Times New Roman" w:cs="Times New Roman"/>
          <w:color w:val="000000"/>
        </w:rPr>
      </w:pPr>
      <w:r w:rsidRPr="009C0177">
        <w:rPr>
          <w:rFonts w:ascii="Times New Roman" w:hAnsi="Times New Roman" w:cs="Times New Roman"/>
          <w:color w:val="000000"/>
        </w:rPr>
        <w:t>Gönyeler, eğelenen yüzeylerin düzgünlüğünün kontrolünde ve birbirine komşu kenarların açılarının ayarlanmasında kullanılan genellikle çelikten yapılmış hassas aletlerdir.</w:t>
      </w:r>
    </w:p>
    <w:p w:rsidR="001C0B78" w:rsidRDefault="001C0B78" w:rsidP="009C0177">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noProof/>
          <w:color w:val="000000"/>
          <w:lang w:eastAsia="tr-TR"/>
        </w:rPr>
        <w:drawing>
          <wp:inline distT="0" distB="0" distL="0" distR="0">
            <wp:extent cx="2082800" cy="97366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00" cy="973666"/>
                    </a:xfrm>
                    <a:prstGeom prst="rect">
                      <a:avLst/>
                    </a:prstGeom>
                    <a:noFill/>
                    <a:ln>
                      <a:noFill/>
                    </a:ln>
                  </pic:spPr>
                </pic:pic>
              </a:graphicData>
            </a:graphic>
          </wp:inline>
        </w:drawing>
      </w:r>
    </w:p>
    <w:p w:rsidR="009C0177" w:rsidRPr="009C0177" w:rsidRDefault="009C0177" w:rsidP="009C0177">
      <w:pPr>
        <w:autoSpaceDE w:val="0"/>
        <w:autoSpaceDN w:val="0"/>
        <w:adjustRightInd w:val="0"/>
        <w:spacing w:after="0" w:line="240" w:lineRule="auto"/>
        <w:rPr>
          <w:rFonts w:ascii="Times New Roman" w:hAnsi="Times New Roman" w:cs="Times New Roman"/>
          <w:color w:val="000000"/>
        </w:rPr>
      </w:pPr>
      <w:r w:rsidRPr="009C0177">
        <w:rPr>
          <w:rFonts w:ascii="Times New Roman" w:hAnsi="Times New Roman" w:cs="Times New Roman"/>
          <w:b/>
          <w:bCs/>
          <w:color w:val="000000"/>
        </w:rPr>
        <w:t xml:space="preserve">Yüzey Kontrol Mastarları </w:t>
      </w:r>
    </w:p>
    <w:p w:rsidR="009C0177" w:rsidRDefault="009C0177" w:rsidP="009C0177">
      <w:pPr>
        <w:autoSpaceDE w:val="0"/>
        <w:autoSpaceDN w:val="0"/>
        <w:adjustRightInd w:val="0"/>
        <w:spacing w:after="0" w:line="240" w:lineRule="auto"/>
        <w:rPr>
          <w:rFonts w:ascii="Times New Roman" w:hAnsi="Times New Roman" w:cs="Times New Roman"/>
          <w:color w:val="000000"/>
        </w:rPr>
      </w:pPr>
      <w:r w:rsidRPr="009C0177">
        <w:rPr>
          <w:rFonts w:ascii="Times New Roman" w:hAnsi="Times New Roman" w:cs="Times New Roman"/>
          <w:color w:val="000000"/>
        </w:rPr>
        <w:t xml:space="preserve">Gönye ile yüzey kontrolünün yapılamayacağı daha büyük parçalarda kullanılan çelikten yapılmış düz araçlardır. Bu araçlar, gibi büyük yüzeylerin üzerine konularak </w:t>
      </w:r>
      <w:proofErr w:type="spellStart"/>
      <w:r w:rsidRPr="009C0177">
        <w:rPr>
          <w:rFonts w:ascii="Times New Roman" w:hAnsi="Times New Roman" w:cs="Times New Roman"/>
          <w:color w:val="000000"/>
        </w:rPr>
        <w:t>sentil</w:t>
      </w:r>
      <w:proofErr w:type="spellEnd"/>
      <w:r w:rsidRPr="009C0177">
        <w:rPr>
          <w:rFonts w:ascii="Times New Roman" w:hAnsi="Times New Roman" w:cs="Times New Roman"/>
          <w:color w:val="000000"/>
        </w:rPr>
        <w:t xml:space="preserve"> adı verilen alet yardımıyla yüzeylerin çarpılma ve eğiklik miktarları ölçülür. </w:t>
      </w:r>
    </w:p>
    <w:p w:rsidR="009C0177" w:rsidRPr="009C0177" w:rsidRDefault="009C0177" w:rsidP="009C0177">
      <w:pPr>
        <w:autoSpaceDE w:val="0"/>
        <w:autoSpaceDN w:val="0"/>
        <w:adjustRightInd w:val="0"/>
        <w:spacing w:after="0" w:line="240" w:lineRule="auto"/>
        <w:rPr>
          <w:rFonts w:ascii="Times New Roman" w:hAnsi="Times New Roman" w:cs="Times New Roman"/>
          <w:color w:val="000000"/>
        </w:rPr>
      </w:pPr>
    </w:p>
    <w:p w:rsidR="009C0177" w:rsidRDefault="009C0177" w:rsidP="009C017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4182533" cy="846667"/>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745" cy="846710"/>
                    </a:xfrm>
                    <a:prstGeom prst="rect">
                      <a:avLst/>
                    </a:prstGeom>
                    <a:noFill/>
                    <a:ln>
                      <a:noFill/>
                    </a:ln>
                  </pic:spPr>
                </pic:pic>
              </a:graphicData>
            </a:graphic>
          </wp:inline>
        </w:drawing>
      </w:r>
    </w:p>
    <w:p w:rsidR="009C0177" w:rsidRPr="009C0177" w:rsidRDefault="009C0177" w:rsidP="009C0177">
      <w:pPr>
        <w:autoSpaceDE w:val="0"/>
        <w:autoSpaceDN w:val="0"/>
        <w:adjustRightInd w:val="0"/>
        <w:spacing w:after="0" w:line="240" w:lineRule="auto"/>
        <w:rPr>
          <w:rFonts w:ascii="Times New Roman" w:hAnsi="Times New Roman" w:cs="Times New Roman"/>
          <w:color w:val="000000"/>
          <w:sz w:val="28"/>
          <w:szCs w:val="28"/>
        </w:rPr>
      </w:pPr>
      <w:r w:rsidRPr="009C0177">
        <w:rPr>
          <w:rFonts w:ascii="Times New Roman" w:hAnsi="Times New Roman" w:cs="Times New Roman"/>
          <w:b/>
          <w:bCs/>
          <w:color w:val="000000"/>
          <w:sz w:val="28"/>
          <w:szCs w:val="28"/>
        </w:rPr>
        <w:t xml:space="preserve">Mengeneler </w:t>
      </w:r>
    </w:p>
    <w:p w:rsidR="009C0177" w:rsidRDefault="009C0177" w:rsidP="009C0177">
      <w:pPr>
        <w:ind w:firstLine="708"/>
        <w:rPr>
          <w:rFonts w:ascii="Times New Roman" w:hAnsi="Times New Roman" w:cs="Times New Roman"/>
          <w:color w:val="000000"/>
        </w:rPr>
      </w:pPr>
      <w:r w:rsidRPr="009C0177">
        <w:rPr>
          <w:rFonts w:ascii="Times New Roman" w:hAnsi="Times New Roman" w:cs="Times New Roman"/>
          <w:color w:val="000000"/>
        </w:rPr>
        <w:t>Çeşitli parçaları tutmak, sabitlemek ve monte etmek amacıyla kullanılan sökülebilir geçici bağlantı aletleridir. Çeşitli iş alanlarında kullanılmak üzere değişik şekillerde mengeneler geliştirilmiştir. Hepsinin de ortak özelliği parçayı sıkıştırmaktır.</w:t>
      </w:r>
    </w:p>
    <w:p w:rsidR="009C0177" w:rsidRDefault="009C0177" w:rsidP="009C0177">
      <w:pPr>
        <w:ind w:firstLine="708"/>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tr-TR"/>
        </w:rPr>
        <w:drawing>
          <wp:inline distT="0" distB="0" distL="0" distR="0">
            <wp:extent cx="4292600" cy="1143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2600" cy="1143000"/>
                    </a:xfrm>
                    <a:prstGeom prst="rect">
                      <a:avLst/>
                    </a:prstGeom>
                    <a:noFill/>
                    <a:ln>
                      <a:noFill/>
                    </a:ln>
                  </pic:spPr>
                </pic:pic>
              </a:graphicData>
            </a:graphic>
          </wp:inline>
        </w:drawing>
      </w:r>
    </w:p>
    <w:p w:rsidR="009C0177" w:rsidRDefault="009C0177" w:rsidP="009C0177">
      <w:pPr>
        <w:rPr>
          <w:b/>
          <w:bCs/>
          <w:sz w:val="23"/>
          <w:szCs w:val="23"/>
        </w:rPr>
      </w:pPr>
      <w:r>
        <w:rPr>
          <w:b/>
          <w:bCs/>
          <w:sz w:val="23"/>
          <w:szCs w:val="23"/>
        </w:rPr>
        <w:t>Parçaların Mengeneye Bağlanmasında Dikkat Edilmesi Gereken Hususlar</w:t>
      </w:r>
    </w:p>
    <w:p w:rsidR="009C0177" w:rsidRPr="009C0177" w:rsidRDefault="009C0177" w:rsidP="009C0177">
      <w:pPr>
        <w:autoSpaceDE w:val="0"/>
        <w:autoSpaceDN w:val="0"/>
        <w:adjustRightInd w:val="0"/>
        <w:spacing w:after="0" w:line="240" w:lineRule="auto"/>
        <w:rPr>
          <w:rFonts w:ascii="Wingdings" w:hAnsi="Wingdings" w:cs="Wingdings"/>
          <w:color w:val="000000"/>
          <w:sz w:val="24"/>
          <w:szCs w:val="24"/>
        </w:rPr>
      </w:pP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Mengenenin tezgâh üzerindeki yüksekliği, çalışacak kişinin dirseğinden 5-8 cm aşağıda olmalıdır. </w:t>
      </w: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Küçük parçalar mengene ağzını mutlaka ortalamalıdır. </w:t>
      </w: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Parçayı tek taraftan sıkmak gerekiyorsa mengene ağızlarının paralelliğinin bozulmaması için diğer tarafa aynı kalınlıkta takoz konulmalıdır. </w:t>
      </w: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Yüzeylerin bozulmaması istenilen parçalarda mengene ağızlıkları kullanılmalıdır. </w:t>
      </w: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Mengene yalnızca kol kuvveti ile sıkılmalıdır. Mengene koluna boru sokularak ya da çekiç vurularak sıkma, mengenenin arızalanmasına yol açar. </w:t>
      </w:r>
    </w:p>
    <w:p w:rsidR="009C0177" w:rsidRPr="009C0177" w:rsidRDefault="009C0177" w:rsidP="009C0177">
      <w:pPr>
        <w:autoSpaceDE w:val="0"/>
        <w:autoSpaceDN w:val="0"/>
        <w:adjustRightInd w:val="0"/>
        <w:spacing w:after="6"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Mengene üzerinde parça doğrultma işlemi yapılacaksa doğrultma işlemi çeneler üzerinde değil, mengenenin örsünün üzerinde yapılır. Tesviyeci mengeneleri genelde dökme demirden yapıldıklarından darbelere karşı dayanıksızdır. Kalın parçaların örs üzerinde düzeltilmesi gerekir. </w:t>
      </w:r>
    </w:p>
    <w:p w:rsidR="00BC0729" w:rsidRPr="001C0B78" w:rsidRDefault="009C0177" w:rsidP="009C0177">
      <w:pPr>
        <w:autoSpaceDE w:val="0"/>
        <w:autoSpaceDN w:val="0"/>
        <w:adjustRightInd w:val="0"/>
        <w:spacing w:after="0" w:line="240" w:lineRule="auto"/>
        <w:rPr>
          <w:rFonts w:ascii="Times New Roman" w:hAnsi="Times New Roman" w:cs="Times New Roman"/>
          <w:color w:val="000000"/>
        </w:rPr>
      </w:pPr>
      <w:r w:rsidRPr="009C0177">
        <w:rPr>
          <w:rFonts w:ascii="Wingdings" w:hAnsi="Wingdings" w:cs="Wingdings"/>
          <w:color w:val="000000"/>
        </w:rPr>
        <w:t></w:t>
      </w:r>
      <w:r w:rsidRPr="009C0177">
        <w:rPr>
          <w:rFonts w:ascii="Wingdings" w:hAnsi="Wingdings" w:cs="Wingdings"/>
          <w:color w:val="000000"/>
        </w:rPr>
        <w:t></w:t>
      </w:r>
      <w:r w:rsidRPr="009C0177">
        <w:rPr>
          <w:rFonts w:ascii="Times New Roman" w:hAnsi="Times New Roman" w:cs="Times New Roman"/>
          <w:color w:val="000000"/>
        </w:rPr>
        <w:t xml:space="preserve">Alüminyum alaşımı, bakır vb. yumuşak malzemeler mengeneye bağlanacaksa mengene kolu yüksek basınçla sıkılmamalı, özellikle yumuşak dökük parçalarda çok dikkat edilmelidir. </w:t>
      </w:r>
    </w:p>
    <w:p w:rsidR="009C0177" w:rsidRPr="009C0177" w:rsidRDefault="009C0177" w:rsidP="009C0177">
      <w:pPr>
        <w:autoSpaceDE w:val="0"/>
        <w:autoSpaceDN w:val="0"/>
        <w:adjustRightInd w:val="0"/>
        <w:spacing w:after="0" w:line="240" w:lineRule="auto"/>
        <w:rPr>
          <w:rFonts w:ascii="Times New Roman" w:hAnsi="Times New Roman" w:cs="Times New Roman"/>
          <w:color w:val="000000"/>
          <w:sz w:val="28"/>
          <w:szCs w:val="28"/>
        </w:rPr>
      </w:pPr>
      <w:r w:rsidRPr="009C0177">
        <w:rPr>
          <w:rFonts w:ascii="Times New Roman" w:hAnsi="Times New Roman" w:cs="Times New Roman"/>
          <w:b/>
          <w:bCs/>
          <w:color w:val="000000"/>
          <w:sz w:val="28"/>
          <w:szCs w:val="28"/>
        </w:rPr>
        <w:lastRenderedPageBreak/>
        <w:t xml:space="preserve">Eğeler </w:t>
      </w:r>
    </w:p>
    <w:p w:rsidR="009C0177" w:rsidRDefault="009C0177" w:rsidP="009C0177">
      <w:pPr>
        <w:rPr>
          <w:rFonts w:ascii="Times New Roman" w:hAnsi="Times New Roman" w:cs="Times New Roman"/>
          <w:color w:val="000000"/>
        </w:rPr>
      </w:pPr>
      <w:r w:rsidRPr="009C0177">
        <w:rPr>
          <w:rFonts w:ascii="Times New Roman" w:hAnsi="Times New Roman" w:cs="Times New Roman"/>
          <w:color w:val="000000"/>
        </w:rPr>
        <w:t>Metal parçaların üzerinden talaş kaldırarak istediğimiz şekli vermek üzere yardımcı olan el aletleridir. Üzerindeki dişler yardımı ile metal parçaların yüzeyinden talaş kopararak çalışır</w:t>
      </w:r>
      <w:r>
        <w:rPr>
          <w:rFonts w:ascii="Times New Roman" w:hAnsi="Times New Roman" w:cs="Times New Roman"/>
          <w:color w:val="000000"/>
        </w:rPr>
        <w:t>.</w:t>
      </w:r>
    </w:p>
    <w:p w:rsidR="009C0177" w:rsidRDefault="00BC0729" w:rsidP="009C0177">
      <w:pPr>
        <w:rPr>
          <w:b/>
          <w:bCs/>
          <w:sz w:val="24"/>
          <w:szCs w:val="24"/>
        </w:rPr>
      </w:pPr>
      <w:r w:rsidRPr="00BC0729">
        <w:rPr>
          <w:b/>
          <w:bCs/>
          <w:sz w:val="24"/>
          <w:szCs w:val="24"/>
        </w:rPr>
        <w:t>Eğelerin Kullanılmasında Dikkat Edilmesi Gereken Hususlar</w:t>
      </w:r>
    </w:p>
    <w:p w:rsidR="00BC0729" w:rsidRDefault="00BC0729" w:rsidP="009C0177">
      <w:r>
        <w:t>Eğelenecek parçalar mengeneye bağlanırken mengene ağzına mümkün olduğu kadar yakın bağlanır.</w:t>
      </w:r>
    </w:p>
    <w:p w:rsidR="00BC0729" w:rsidRDefault="00BC0729" w:rsidP="009C0177">
      <w:r>
        <w:t>Eğe yapılacak yüzey özel durumlar hariç yere paralel olarak mengeneye bağlanmalıdır. Eğelemeye başlanırken sol ayak ileri, içe doğru hafif bükük, sağ ayak biraz geride ve vücuda destek olacak şekilde, mengenenin 45 derece solunda eğeleme pozisyonu alınır.</w:t>
      </w:r>
    </w:p>
    <w:p w:rsidR="00BC0729" w:rsidRDefault="00BC0729" w:rsidP="009C0177">
      <w:r>
        <w:t>Eğeleme işlemi sırasında eğe ileri giderken parçadan talaş kopartır. Sağ el ile ileri sürülürken aynı zamanda sağ ve sol el üzerine eşit basınç uygulanmalıdır. Eğe, normal bir hızda ve eğe yüzü boyunca parça yüzeyine sürtülür. Eğe geri çekilirken parçadan uzaklaştırılmaz, parça yüzeyinde bir baskı uygulanmadan çekilir.</w:t>
      </w:r>
    </w:p>
    <w:p w:rsidR="00BC0729" w:rsidRDefault="00BC0729" w:rsidP="00BC0729">
      <w:pPr>
        <w:pStyle w:val="Default"/>
        <w:rPr>
          <w:sz w:val="28"/>
          <w:szCs w:val="28"/>
        </w:rPr>
      </w:pPr>
      <w:r>
        <w:rPr>
          <w:b/>
          <w:bCs/>
          <w:sz w:val="28"/>
          <w:szCs w:val="28"/>
        </w:rPr>
        <w:t xml:space="preserve">Testereler </w:t>
      </w:r>
    </w:p>
    <w:p w:rsidR="00BC0729" w:rsidRDefault="00BC0729" w:rsidP="00BC0729">
      <w:r>
        <w:t xml:space="preserve">Bir malzemeyi kesici araç kullanarak parçalara ayırma işlemine kesme işlemi denir. Kesme işlemi </w:t>
      </w:r>
      <w:proofErr w:type="spellStart"/>
      <w:r>
        <w:t>talaşsız</w:t>
      </w:r>
      <w:proofErr w:type="spellEnd"/>
      <w:r>
        <w:t xml:space="preserve"> ve talaşlı kesme işlemi olmak üzere ikiye ayrılır. Testere ile kesme işlemi talaşlı kesme işlemidir. El testereleri sanayide oldukça kullanım alanına sahiptir.</w:t>
      </w:r>
    </w:p>
    <w:p w:rsidR="00BC0729" w:rsidRDefault="00BC0729" w:rsidP="00BC0729">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drawing>
          <wp:inline distT="0" distB="0" distL="0" distR="0">
            <wp:extent cx="3953933" cy="872066"/>
            <wp:effectExtent l="0" t="0" r="889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4145" cy="872113"/>
                    </a:xfrm>
                    <a:prstGeom prst="rect">
                      <a:avLst/>
                    </a:prstGeom>
                    <a:noFill/>
                    <a:ln>
                      <a:noFill/>
                    </a:ln>
                  </pic:spPr>
                </pic:pic>
              </a:graphicData>
            </a:graphic>
          </wp:inline>
        </w:drawing>
      </w:r>
    </w:p>
    <w:p w:rsidR="00BC0729" w:rsidRDefault="00BC0729" w:rsidP="00BC0729">
      <w:pPr>
        <w:pStyle w:val="Default"/>
        <w:rPr>
          <w:b/>
          <w:bCs/>
          <w:sz w:val="28"/>
          <w:szCs w:val="28"/>
        </w:rPr>
      </w:pPr>
      <w:r>
        <w:rPr>
          <w:b/>
          <w:bCs/>
          <w:sz w:val="28"/>
          <w:szCs w:val="28"/>
        </w:rPr>
        <w:t xml:space="preserve">Markalamanın Tanımı ve Önemi </w:t>
      </w:r>
    </w:p>
    <w:p w:rsidR="001C0B78" w:rsidRDefault="001C0B78" w:rsidP="00BC0729">
      <w:pPr>
        <w:pStyle w:val="Default"/>
        <w:rPr>
          <w:sz w:val="28"/>
          <w:szCs w:val="28"/>
        </w:rPr>
      </w:pPr>
    </w:p>
    <w:p w:rsidR="00BC0729" w:rsidRDefault="00BC0729" w:rsidP="001C0B78">
      <w:pPr>
        <w:pStyle w:val="Default"/>
        <w:ind w:firstLine="708"/>
        <w:rPr>
          <w:sz w:val="22"/>
          <w:szCs w:val="22"/>
        </w:rPr>
      </w:pPr>
      <w:r>
        <w:rPr>
          <w:sz w:val="22"/>
          <w:szCs w:val="22"/>
        </w:rPr>
        <w:t xml:space="preserve">Kâğıt üzerindeki çizilen teknik resmi, gerekli aletleri kullanarak işlenecek parça üzerine çizme işlemine markalama denir. </w:t>
      </w:r>
    </w:p>
    <w:p w:rsidR="00BC0729" w:rsidRDefault="00BC0729" w:rsidP="001C0B78">
      <w:pPr>
        <w:ind w:firstLine="708"/>
      </w:pPr>
      <w:r>
        <w:t>Markalama, işleme kalitesine etkisi açısından çok önemlidir. Çizilen çizgiler düzgün olursa yapacağımız işi o ölçüde düzgün işleyebiliriz. Doğru ölçülerde markalanmış bir iş parçası, doğ</w:t>
      </w:r>
      <w:r w:rsidR="001C0B78">
        <w:t xml:space="preserve">ru olarak </w:t>
      </w:r>
      <w:r>
        <w:t>işlenir, hem malzeme hem de zamandan tasarruf edilmiş olur.</w:t>
      </w:r>
    </w:p>
    <w:p w:rsidR="001C0B78" w:rsidRDefault="001C0B78" w:rsidP="001C0B78">
      <w:pPr>
        <w:ind w:firstLine="708"/>
        <w:rPr>
          <w:b/>
          <w:bCs/>
          <w:sz w:val="28"/>
          <w:szCs w:val="28"/>
        </w:rPr>
      </w:pPr>
      <w:r>
        <w:rPr>
          <w:b/>
          <w:bCs/>
          <w:sz w:val="28"/>
          <w:szCs w:val="28"/>
        </w:rPr>
        <w:t>Markalama Aletleri</w:t>
      </w:r>
    </w:p>
    <w:p w:rsidR="001C0B78" w:rsidRDefault="001C0B78" w:rsidP="001C0B78">
      <w:pPr>
        <w:pStyle w:val="Default"/>
      </w:pPr>
    </w:p>
    <w:p w:rsidR="001C0B78" w:rsidRDefault="001C0B78" w:rsidP="001C0B78">
      <w:pPr>
        <w:pStyle w:val="Default"/>
        <w:rPr>
          <w:sz w:val="22"/>
          <w:szCs w:val="22"/>
        </w:rPr>
      </w:pPr>
      <w:proofErr w:type="spellStart"/>
      <w:r>
        <w:rPr>
          <w:b/>
          <w:bCs/>
          <w:sz w:val="22"/>
          <w:szCs w:val="22"/>
        </w:rPr>
        <w:t>Pleyt</w:t>
      </w:r>
      <w:proofErr w:type="spellEnd"/>
      <w:r>
        <w:rPr>
          <w:b/>
          <w:bCs/>
          <w:sz w:val="22"/>
          <w:szCs w:val="22"/>
        </w:rPr>
        <w:t xml:space="preserve">: </w:t>
      </w:r>
      <w:proofErr w:type="spellStart"/>
      <w:r>
        <w:rPr>
          <w:sz w:val="22"/>
          <w:szCs w:val="22"/>
        </w:rPr>
        <w:t>Tesviyeciliğin</w:t>
      </w:r>
      <w:proofErr w:type="spellEnd"/>
      <w:r>
        <w:rPr>
          <w:sz w:val="22"/>
          <w:szCs w:val="22"/>
        </w:rPr>
        <w:t xml:space="preserve"> ve markalamanın temel aletidir. Yüzeyleri hassas olarak düzeltilmiş kare, dikdörtgen veya yuvarlak şekillerde yapılmıştır. </w:t>
      </w:r>
    </w:p>
    <w:p w:rsidR="001C0B78" w:rsidRDefault="001C0B78" w:rsidP="001C0B78">
      <w:pPr>
        <w:ind w:firstLine="708"/>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drawing>
          <wp:inline distT="0" distB="0" distL="0" distR="0">
            <wp:extent cx="3522133" cy="1185333"/>
            <wp:effectExtent l="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2472" cy="1185447"/>
                    </a:xfrm>
                    <a:prstGeom prst="rect">
                      <a:avLst/>
                    </a:prstGeom>
                    <a:noFill/>
                    <a:ln>
                      <a:noFill/>
                    </a:ln>
                  </pic:spPr>
                </pic:pic>
              </a:graphicData>
            </a:graphic>
          </wp:inline>
        </w:drawing>
      </w:r>
    </w:p>
    <w:p w:rsidR="001C0B78" w:rsidRPr="001C0B78" w:rsidRDefault="001C0B78" w:rsidP="001C0B78">
      <w:pPr>
        <w:autoSpaceDE w:val="0"/>
        <w:autoSpaceDN w:val="0"/>
        <w:adjustRightInd w:val="0"/>
        <w:spacing w:after="0" w:line="240" w:lineRule="auto"/>
        <w:rPr>
          <w:rFonts w:ascii="Wingdings" w:hAnsi="Wingdings" w:cs="Wingdings"/>
          <w:color w:val="000000"/>
          <w:sz w:val="24"/>
          <w:szCs w:val="24"/>
        </w:rPr>
      </w:pPr>
    </w:p>
    <w:p w:rsidR="001C0B78" w:rsidRPr="001C0B78" w:rsidRDefault="001C0B78" w:rsidP="001C0B78">
      <w:pPr>
        <w:autoSpaceDE w:val="0"/>
        <w:autoSpaceDN w:val="0"/>
        <w:adjustRightInd w:val="0"/>
        <w:spacing w:after="0" w:line="240" w:lineRule="auto"/>
        <w:rPr>
          <w:rFonts w:ascii="Times New Roman" w:hAnsi="Times New Roman" w:cs="Times New Roman"/>
          <w:color w:val="000000"/>
        </w:rPr>
      </w:pPr>
      <w:r w:rsidRPr="001C0B78">
        <w:rPr>
          <w:rFonts w:ascii="Wingdings" w:hAnsi="Wingdings" w:cs="Wingdings"/>
          <w:color w:val="000000"/>
        </w:rPr>
        <w:lastRenderedPageBreak/>
        <w:t></w:t>
      </w:r>
      <w:r w:rsidRPr="001C0B78">
        <w:rPr>
          <w:rFonts w:ascii="Wingdings" w:hAnsi="Wingdings" w:cs="Wingdings"/>
          <w:color w:val="000000"/>
        </w:rPr>
        <w:t></w:t>
      </w:r>
      <w:proofErr w:type="spellStart"/>
      <w:r w:rsidRPr="001C0B78">
        <w:rPr>
          <w:rFonts w:ascii="Times New Roman" w:hAnsi="Times New Roman" w:cs="Times New Roman"/>
          <w:b/>
          <w:bCs/>
          <w:color w:val="000000"/>
        </w:rPr>
        <w:t>Mihengir</w:t>
      </w:r>
      <w:proofErr w:type="spellEnd"/>
      <w:r w:rsidRPr="001C0B78">
        <w:rPr>
          <w:rFonts w:ascii="Times New Roman" w:hAnsi="Times New Roman" w:cs="Times New Roman"/>
          <w:b/>
          <w:bCs/>
          <w:color w:val="000000"/>
        </w:rPr>
        <w:t xml:space="preserve">: </w:t>
      </w:r>
      <w:r w:rsidRPr="001C0B78">
        <w:rPr>
          <w:rFonts w:ascii="Times New Roman" w:hAnsi="Times New Roman" w:cs="Times New Roman"/>
          <w:color w:val="000000"/>
        </w:rPr>
        <w:t xml:space="preserve">Tabanından </w:t>
      </w:r>
      <w:proofErr w:type="spellStart"/>
      <w:r w:rsidRPr="001C0B78">
        <w:rPr>
          <w:rFonts w:ascii="Times New Roman" w:hAnsi="Times New Roman" w:cs="Times New Roman"/>
          <w:color w:val="000000"/>
        </w:rPr>
        <w:t>pleyt</w:t>
      </w:r>
      <w:proofErr w:type="spellEnd"/>
      <w:r w:rsidRPr="001C0B78">
        <w:rPr>
          <w:rFonts w:ascii="Times New Roman" w:hAnsi="Times New Roman" w:cs="Times New Roman"/>
          <w:color w:val="000000"/>
        </w:rPr>
        <w:t xml:space="preserve"> yüzeyinde kaydırılarak kullanılır. Parçaların yüzeylerine çizgi çizmekte kullanılır. </w:t>
      </w:r>
    </w:p>
    <w:p w:rsidR="001C0B78" w:rsidRDefault="001C0B78" w:rsidP="001C0B78">
      <w:pPr>
        <w:ind w:firstLine="708"/>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drawing>
          <wp:inline distT="0" distB="0" distL="0" distR="0">
            <wp:extent cx="3996267" cy="1752026"/>
            <wp:effectExtent l="0" t="0" r="444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6639" cy="1752189"/>
                    </a:xfrm>
                    <a:prstGeom prst="rect">
                      <a:avLst/>
                    </a:prstGeom>
                    <a:noFill/>
                    <a:ln>
                      <a:noFill/>
                    </a:ln>
                  </pic:spPr>
                </pic:pic>
              </a:graphicData>
            </a:graphic>
          </wp:inline>
        </w:drawing>
      </w:r>
    </w:p>
    <w:p w:rsidR="001C0B78" w:rsidRPr="001C0B78" w:rsidRDefault="001C0B78" w:rsidP="001C0B78">
      <w:pPr>
        <w:autoSpaceDE w:val="0"/>
        <w:autoSpaceDN w:val="0"/>
        <w:adjustRightInd w:val="0"/>
        <w:spacing w:after="0" w:line="240" w:lineRule="auto"/>
        <w:rPr>
          <w:rFonts w:ascii="Wingdings" w:hAnsi="Wingdings" w:cs="Wingdings"/>
          <w:color w:val="000000"/>
          <w:sz w:val="24"/>
          <w:szCs w:val="24"/>
        </w:rPr>
      </w:pPr>
    </w:p>
    <w:p w:rsidR="001C0B78" w:rsidRPr="001C0B78" w:rsidRDefault="001C0B78" w:rsidP="001C0B78">
      <w:pPr>
        <w:autoSpaceDE w:val="0"/>
        <w:autoSpaceDN w:val="0"/>
        <w:adjustRightInd w:val="0"/>
        <w:spacing w:after="0" w:line="240" w:lineRule="auto"/>
        <w:rPr>
          <w:rFonts w:ascii="Wingdings" w:hAnsi="Wingdings" w:cs="Wingdings"/>
          <w:color w:val="000000"/>
          <w:sz w:val="24"/>
          <w:szCs w:val="24"/>
        </w:rPr>
      </w:pPr>
    </w:p>
    <w:p w:rsidR="001C0B78" w:rsidRPr="001C0B78" w:rsidRDefault="001C0B78" w:rsidP="001C0B78">
      <w:pPr>
        <w:autoSpaceDE w:val="0"/>
        <w:autoSpaceDN w:val="0"/>
        <w:adjustRightInd w:val="0"/>
        <w:spacing w:after="0" w:line="240" w:lineRule="auto"/>
        <w:rPr>
          <w:rFonts w:ascii="Times New Roman" w:hAnsi="Times New Roman" w:cs="Times New Roman"/>
          <w:color w:val="000000"/>
        </w:rPr>
      </w:pPr>
      <w:r w:rsidRPr="001C0B78">
        <w:rPr>
          <w:rFonts w:ascii="Wingdings" w:hAnsi="Wingdings" w:cs="Wingdings"/>
          <w:color w:val="000000"/>
        </w:rPr>
        <w:t></w:t>
      </w:r>
      <w:r w:rsidRPr="001C0B78">
        <w:rPr>
          <w:rFonts w:ascii="Wingdings" w:hAnsi="Wingdings" w:cs="Wingdings"/>
          <w:color w:val="000000"/>
        </w:rPr>
        <w:t></w:t>
      </w:r>
      <w:r w:rsidRPr="001C0B78">
        <w:rPr>
          <w:rFonts w:ascii="Times New Roman" w:hAnsi="Times New Roman" w:cs="Times New Roman"/>
          <w:b/>
          <w:bCs/>
          <w:color w:val="000000"/>
        </w:rPr>
        <w:t xml:space="preserve">Göz taşı (bakır sülfat): </w:t>
      </w:r>
      <w:r w:rsidRPr="001C0B78">
        <w:rPr>
          <w:rFonts w:ascii="Times New Roman" w:hAnsi="Times New Roman" w:cs="Times New Roman"/>
          <w:color w:val="000000"/>
        </w:rPr>
        <w:t>Parçaların yüzeyini boyamakta kullanılır. Göz taşı ile suyun karışımından meydana gelen sıvıya bakır sülfat (CuSO</w:t>
      </w:r>
      <w:r w:rsidRPr="001C0B78">
        <w:rPr>
          <w:rFonts w:ascii="Times New Roman" w:hAnsi="Times New Roman" w:cs="Times New Roman"/>
          <w:color w:val="000000"/>
          <w:sz w:val="14"/>
          <w:szCs w:val="14"/>
        </w:rPr>
        <w:t>4</w:t>
      </w:r>
      <w:r w:rsidRPr="001C0B78">
        <w:rPr>
          <w:rFonts w:ascii="Times New Roman" w:hAnsi="Times New Roman" w:cs="Times New Roman"/>
          <w:color w:val="000000"/>
        </w:rPr>
        <w:t xml:space="preserve">) denir. Parçaların yüzeyine sürüldüğünde yüzeyi bakır rengine boyar. </w:t>
      </w:r>
    </w:p>
    <w:p w:rsidR="001C0B78" w:rsidRPr="001C0B78" w:rsidRDefault="001C0B78" w:rsidP="001C0B78">
      <w:pPr>
        <w:autoSpaceDE w:val="0"/>
        <w:autoSpaceDN w:val="0"/>
        <w:adjustRightInd w:val="0"/>
        <w:spacing w:after="0" w:line="240" w:lineRule="auto"/>
        <w:rPr>
          <w:rFonts w:ascii="Times New Roman" w:hAnsi="Times New Roman" w:cs="Times New Roman"/>
          <w:color w:val="000000"/>
        </w:rPr>
      </w:pPr>
      <w:r w:rsidRPr="001C0B78">
        <w:rPr>
          <w:rFonts w:ascii="Wingdings" w:hAnsi="Wingdings" w:cs="Wingdings"/>
          <w:color w:val="000000"/>
        </w:rPr>
        <w:t></w:t>
      </w:r>
      <w:r w:rsidRPr="001C0B78">
        <w:rPr>
          <w:rFonts w:ascii="Wingdings" w:hAnsi="Wingdings" w:cs="Wingdings"/>
          <w:color w:val="000000"/>
        </w:rPr>
        <w:t></w:t>
      </w:r>
      <w:r w:rsidRPr="001C0B78">
        <w:rPr>
          <w:rFonts w:ascii="Times New Roman" w:hAnsi="Times New Roman" w:cs="Times New Roman"/>
          <w:b/>
          <w:bCs/>
          <w:color w:val="000000"/>
        </w:rPr>
        <w:t xml:space="preserve">Çizecek: </w:t>
      </w:r>
      <w:r w:rsidRPr="001C0B78">
        <w:rPr>
          <w:rFonts w:ascii="Times New Roman" w:hAnsi="Times New Roman" w:cs="Times New Roman"/>
          <w:color w:val="000000"/>
        </w:rPr>
        <w:t xml:space="preserve">Ucu sivriltilmiş ve sertleştirilmiş malzemeden yapılmıştır. Parçaların yüzeyini çizmekte kullanılır. </w:t>
      </w:r>
    </w:p>
    <w:p w:rsidR="001C0B78" w:rsidRDefault="001C0B78" w:rsidP="001C0B78">
      <w:pPr>
        <w:ind w:firstLine="708"/>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drawing>
          <wp:inline distT="0" distB="0" distL="0" distR="0">
            <wp:extent cx="3191335" cy="115146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145" cy="1151759"/>
                    </a:xfrm>
                    <a:prstGeom prst="rect">
                      <a:avLst/>
                    </a:prstGeom>
                    <a:noFill/>
                    <a:ln>
                      <a:noFill/>
                    </a:ln>
                  </pic:spPr>
                </pic:pic>
              </a:graphicData>
            </a:graphic>
          </wp:inline>
        </w:drawing>
      </w:r>
    </w:p>
    <w:p w:rsidR="001C0B78" w:rsidRDefault="001C0B78" w:rsidP="001C0B78">
      <w:pPr>
        <w:pStyle w:val="Default"/>
      </w:pPr>
    </w:p>
    <w:p w:rsidR="001C0B78" w:rsidRDefault="001C0B78" w:rsidP="001C0B78">
      <w:pPr>
        <w:pStyle w:val="Default"/>
        <w:rPr>
          <w:sz w:val="22"/>
          <w:szCs w:val="22"/>
        </w:rPr>
      </w:pPr>
      <w:r>
        <w:rPr>
          <w:b/>
          <w:bCs/>
          <w:sz w:val="22"/>
          <w:szCs w:val="22"/>
        </w:rPr>
        <w:t xml:space="preserve">Nokta: </w:t>
      </w:r>
      <w:r>
        <w:rPr>
          <w:sz w:val="22"/>
          <w:szCs w:val="22"/>
        </w:rPr>
        <w:t xml:space="preserve">Metal yüzeylere nokta vurmakta kullanılır. Ucu sertleştirilip sivriltilmiştir. </w:t>
      </w:r>
    </w:p>
    <w:p w:rsidR="001C0B78" w:rsidRDefault="001C0B78" w:rsidP="001C0B78">
      <w:pPr>
        <w:ind w:firstLine="708"/>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drawing>
          <wp:inline distT="0" distB="0" distL="0" distR="0">
            <wp:extent cx="4216400" cy="126153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6400" cy="1261534"/>
                    </a:xfrm>
                    <a:prstGeom prst="rect">
                      <a:avLst/>
                    </a:prstGeom>
                    <a:noFill/>
                    <a:ln>
                      <a:noFill/>
                    </a:ln>
                  </pic:spPr>
                </pic:pic>
              </a:graphicData>
            </a:graphic>
          </wp:inline>
        </w:drawing>
      </w:r>
    </w:p>
    <w:p w:rsidR="001C0B78" w:rsidRPr="001C0B78" w:rsidRDefault="001C0B78" w:rsidP="001C0B78">
      <w:pPr>
        <w:autoSpaceDE w:val="0"/>
        <w:autoSpaceDN w:val="0"/>
        <w:adjustRightInd w:val="0"/>
        <w:spacing w:after="0" w:line="240" w:lineRule="auto"/>
        <w:rPr>
          <w:rFonts w:ascii="Wingdings" w:hAnsi="Wingdings" w:cs="Wingdings"/>
          <w:color w:val="000000"/>
          <w:sz w:val="24"/>
          <w:szCs w:val="24"/>
        </w:rPr>
      </w:pPr>
    </w:p>
    <w:p w:rsidR="001C0B78" w:rsidRDefault="001C0B78" w:rsidP="001C0B78">
      <w:pPr>
        <w:autoSpaceDE w:val="0"/>
        <w:autoSpaceDN w:val="0"/>
        <w:adjustRightInd w:val="0"/>
        <w:spacing w:after="0" w:line="240" w:lineRule="auto"/>
        <w:rPr>
          <w:rFonts w:ascii="Times New Roman" w:hAnsi="Times New Roman" w:cs="Times New Roman"/>
          <w:color w:val="000000"/>
        </w:rPr>
      </w:pPr>
      <w:r w:rsidRPr="001C0B78">
        <w:rPr>
          <w:rFonts w:ascii="Wingdings" w:hAnsi="Wingdings" w:cs="Wingdings"/>
          <w:color w:val="000000"/>
        </w:rPr>
        <w:t></w:t>
      </w:r>
      <w:r w:rsidRPr="001C0B78">
        <w:rPr>
          <w:rFonts w:ascii="Wingdings" w:hAnsi="Wingdings" w:cs="Wingdings"/>
          <w:color w:val="000000"/>
        </w:rPr>
        <w:t></w:t>
      </w:r>
      <w:r w:rsidRPr="001C0B78">
        <w:rPr>
          <w:rFonts w:ascii="Times New Roman" w:hAnsi="Times New Roman" w:cs="Times New Roman"/>
          <w:b/>
          <w:bCs/>
          <w:color w:val="000000"/>
        </w:rPr>
        <w:t xml:space="preserve">Pergel: </w:t>
      </w:r>
      <w:r w:rsidRPr="001C0B78">
        <w:rPr>
          <w:rFonts w:ascii="Times New Roman" w:hAnsi="Times New Roman" w:cs="Times New Roman"/>
          <w:color w:val="000000"/>
        </w:rPr>
        <w:t xml:space="preserve">Parçaların üzerine daire ve yay çizmek için kullanılır. Ayrıca bir ölçünün diğer bir yere taşınmasında ve merkezlerin bulunmasında kullanılır. </w:t>
      </w:r>
    </w:p>
    <w:p w:rsidR="001C0B78" w:rsidRPr="001C0B78" w:rsidRDefault="001C0B78" w:rsidP="001C0B78">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eastAsia="tr-TR"/>
        </w:rPr>
        <w:drawing>
          <wp:inline distT="0" distB="0" distL="0" distR="0">
            <wp:extent cx="1972945" cy="609600"/>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2945" cy="609600"/>
                    </a:xfrm>
                    <a:prstGeom prst="rect">
                      <a:avLst/>
                    </a:prstGeom>
                    <a:noFill/>
                    <a:ln>
                      <a:noFill/>
                    </a:ln>
                  </pic:spPr>
                </pic:pic>
              </a:graphicData>
            </a:graphic>
          </wp:inline>
        </w:drawing>
      </w:r>
    </w:p>
    <w:p w:rsidR="001C0B78" w:rsidRDefault="001C0B78" w:rsidP="001C0B78">
      <w:pPr>
        <w:pStyle w:val="Default"/>
        <w:rPr>
          <w:b/>
          <w:bCs/>
          <w:sz w:val="28"/>
          <w:szCs w:val="28"/>
        </w:rPr>
      </w:pPr>
    </w:p>
    <w:p w:rsidR="001C0B78" w:rsidRDefault="001C0B78" w:rsidP="001C0B78">
      <w:pPr>
        <w:pStyle w:val="Default"/>
        <w:rPr>
          <w:b/>
          <w:bCs/>
          <w:sz w:val="28"/>
          <w:szCs w:val="28"/>
        </w:rPr>
      </w:pPr>
    </w:p>
    <w:p w:rsidR="001C0B78" w:rsidRDefault="001C0B78" w:rsidP="001C0B78">
      <w:pPr>
        <w:pStyle w:val="Default"/>
        <w:rPr>
          <w:b/>
          <w:bCs/>
          <w:sz w:val="28"/>
          <w:szCs w:val="28"/>
        </w:rPr>
      </w:pPr>
    </w:p>
    <w:p w:rsidR="001C0B78" w:rsidRDefault="001C0B78" w:rsidP="001C0B78">
      <w:pPr>
        <w:pStyle w:val="Default"/>
        <w:rPr>
          <w:b/>
          <w:bCs/>
          <w:sz w:val="28"/>
          <w:szCs w:val="28"/>
        </w:rPr>
      </w:pPr>
    </w:p>
    <w:p w:rsidR="001C0B78" w:rsidRDefault="001C0B78" w:rsidP="001C0B78">
      <w:pPr>
        <w:pStyle w:val="Default"/>
        <w:rPr>
          <w:b/>
          <w:bCs/>
          <w:sz w:val="28"/>
          <w:szCs w:val="28"/>
        </w:rPr>
      </w:pPr>
    </w:p>
    <w:p w:rsidR="001C0B78" w:rsidRDefault="001C0B78" w:rsidP="001C0B78">
      <w:pPr>
        <w:pStyle w:val="Default"/>
        <w:rPr>
          <w:b/>
          <w:bCs/>
          <w:sz w:val="28"/>
          <w:szCs w:val="28"/>
        </w:rPr>
      </w:pPr>
    </w:p>
    <w:p w:rsidR="001C0B78" w:rsidRDefault="001C0B78" w:rsidP="001C0B78">
      <w:pPr>
        <w:pStyle w:val="Default"/>
        <w:rPr>
          <w:sz w:val="28"/>
          <w:szCs w:val="28"/>
        </w:rPr>
      </w:pPr>
      <w:r>
        <w:rPr>
          <w:b/>
          <w:bCs/>
          <w:sz w:val="28"/>
          <w:szCs w:val="28"/>
        </w:rPr>
        <w:lastRenderedPageBreak/>
        <w:t xml:space="preserve">Markalamada Dikkat Edilecek Hususlar </w:t>
      </w:r>
    </w:p>
    <w:p w:rsidR="001C0B78" w:rsidRDefault="001C0B78" w:rsidP="001C0B78">
      <w:pPr>
        <w:pStyle w:val="Default"/>
        <w:rPr>
          <w:sz w:val="22"/>
          <w:szCs w:val="22"/>
        </w:rPr>
      </w:pPr>
    </w:p>
    <w:p w:rsidR="001C0B78" w:rsidRDefault="001C0B78" w:rsidP="001C0B78">
      <w:pPr>
        <w:pStyle w:val="Default"/>
        <w:ind w:firstLine="708"/>
        <w:rPr>
          <w:sz w:val="22"/>
          <w:szCs w:val="22"/>
        </w:rPr>
      </w:pPr>
      <w:r>
        <w:rPr>
          <w:sz w:val="22"/>
          <w:szCs w:val="22"/>
        </w:rPr>
        <w:t>Markalama yapılacak yüzeye, markalama çizgilerinin görünmesi için göz taşı sürülür. Göz taşı sürülecek yüzey, kirden ve pastan arındırılmış olmalıdır. Göz taşı sürerken göz taşının deriye ve göze temas ettirilmemesi gerekmektedir.</w:t>
      </w:r>
    </w:p>
    <w:p w:rsidR="001C0B78" w:rsidRDefault="001C0B78" w:rsidP="001C0B78">
      <w:pPr>
        <w:ind w:firstLine="708"/>
      </w:pPr>
      <w:r>
        <w:t xml:space="preserve">Göz taşı kurumadan iş parçaları </w:t>
      </w:r>
      <w:proofErr w:type="spellStart"/>
      <w:r>
        <w:t>pleyt</w:t>
      </w:r>
      <w:proofErr w:type="spellEnd"/>
      <w:r>
        <w:t xml:space="preserve"> üzerine alınmamalı ve markalama yapılmamalıdır. Çizgilerin daha düzgün olması için parça kenarları çapaktan temizlenmeli ve çizgiler dengeli bir şekilde dikkatle çizilmelidir.</w:t>
      </w:r>
    </w:p>
    <w:p w:rsidR="001C0B78" w:rsidRDefault="001C0B78" w:rsidP="001C0B78">
      <w:pPr>
        <w:pStyle w:val="Default"/>
        <w:ind w:firstLine="708"/>
        <w:rPr>
          <w:sz w:val="22"/>
          <w:szCs w:val="22"/>
        </w:rPr>
      </w:pPr>
      <w:r>
        <w:rPr>
          <w:sz w:val="22"/>
          <w:szCs w:val="22"/>
        </w:rPr>
        <w:t xml:space="preserve">Destek parçasının parçaları desteklemek için kullanılması, çizgilerin temiz ve düz çizilmesini kolaylaştırır. </w:t>
      </w:r>
      <w:proofErr w:type="spellStart"/>
      <w:r>
        <w:rPr>
          <w:sz w:val="22"/>
          <w:szCs w:val="22"/>
        </w:rPr>
        <w:t>Mihengirin</w:t>
      </w:r>
      <w:proofErr w:type="spellEnd"/>
      <w:r>
        <w:rPr>
          <w:sz w:val="22"/>
          <w:szCs w:val="22"/>
        </w:rPr>
        <w:t xml:space="preserve"> çizici ucu parçaya tam temas ettirilmeli ve kesin net çizgiler bir defada çizilmelidir. </w:t>
      </w:r>
    </w:p>
    <w:p w:rsidR="001C0B78" w:rsidRDefault="001C0B78" w:rsidP="001C0B78">
      <w:pPr>
        <w:pStyle w:val="Default"/>
        <w:ind w:firstLine="708"/>
        <w:rPr>
          <w:sz w:val="22"/>
          <w:szCs w:val="22"/>
        </w:rPr>
      </w:pPr>
      <w:r>
        <w:rPr>
          <w:sz w:val="22"/>
          <w:szCs w:val="22"/>
        </w:rPr>
        <w:t xml:space="preserve">Çizecek nokta gibi elemanların uçları bilenmeli, sivri olmayan uçlarla markalama yapılmamalıdır. Nokta vurma işleminde, parça </w:t>
      </w:r>
      <w:proofErr w:type="spellStart"/>
      <w:r>
        <w:rPr>
          <w:sz w:val="22"/>
          <w:szCs w:val="22"/>
        </w:rPr>
        <w:t>pleyt</w:t>
      </w:r>
      <w:proofErr w:type="spellEnd"/>
      <w:r>
        <w:rPr>
          <w:sz w:val="22"/>
          <w:szCs w:val="22"/>
        </w:rPr>
        <w:t xml:space="preserve"> üzerinde değil, örs üzerinde noktalanmalıdır. Çekiç ile noktaya bir kere hafifçe vurulmalıdır. </w:t>
      </w:r>
    </w:p>
    <w:p w:rsidR="001C0B78" w:rsidRDefault="001C0B78" w:rsidP="001C0B78">
      <w:pPr>
        <w:ind w:firstLine="708"/>
      </w:pPr>
      <w:r>
        <w:t xml:space="preserve">Markalama aletleri işlem bittikten sonra temizlenerek ayrı ayrı yerlerde korunmalıdır. </w:t>
      </w:r>
      <w:proofErr w:type="spellStart"/>
      <w:r>
        <w:t>Pleytlerin</w:t>
      </w:r>
      <w:proofErr w:type="spellEnd"/>
      <w:r>
        <w:t xml:space="preserve"> üzeri biraz yağlanmalı, tahta veya karton kapakları kapatılmalıdır.</w:t>
      </w:r>
    </w:p>
    <w:p w:rsidR="001C0B78" w:rsidRDefault="001C0B78" w:rsidP="001C0B78">
      <w:pPr>
        <w:pStyle w:val="Default"/>
        <w:rPr>
          <w:sz w:val="28"/>
          <w:szCs w:val="28"/>
        </w:rPr>
      </w:pPr>
      <w:r>
        <w:rPr>
          <w:b/>
          <w:bCs/>
          <w:sz w:val="28"/>
          <w:szCs w:val="28"/>
        </w:rPr>
        <w:t xml:space="preserve">Zımparalar </w:t>
      </w:r>
    </w:p>
    <w:p w:rsidR="001C0B78" w:rsidRDefault="001C0B78" w:rsidP="001C0B78">
      <w:pPr>
        <w:ind w:firstLine="708"/>
      </w:pPr>
      <w:r>
        <w:t>Zımparalama işlemi yüzeyden mekanik olarak malzeme koparma işlemidir. Doğru yapılan bir zımparalama işleminde hasar görmüş yüzeyden malzeme koparırken yüzey mümkün olan en az hasarla bırakılır ve zımparalama işlemi yüzey parlatma için kullanılır.</w:t>
      </w:r>
    </w:p>
    <w:p w:rsidR="001C0B78" w:rsidRPr="00BC0729" w:rsidRDefault="001C0B78" w:rsidP="001C0B78">
      <w:pPr>
        <w:ind w:firstLine="708"/>
        <w:jc w:val="center"/>
        <w:rPr>
          <w:rFonts w:ascii="Times New Roman" w:hAnsi="Times New Roman" w:cs="Times New Roman"/>
          <w:b/>
          <w:bCs/>
          <w:color w:val="000000"/>
          <w:sz w:val="24"/>
          <w:szCs w:val="24"/>
        </w:rPr>
      </w:pPr>
      <w:bookmarkStart w:id="0" w:name="_GoBack"/>
      <w:r>
        <w:rPr>
          <w:rFonts w:ascii="Times New Roman" w:hAnsi="Times New Roman" w:cs="Times New Roman"/>
          <w:b/>
          <w:bCs/>
          <w:noProof/>
          <w:color w:val="000000"/>
          <w:sz w:val="24"/>
          <w:szCs w:val="24"/>
          <w:lang w:eastAsia="tr-TR"/>
        </w:rPr>
        <w:drawing>
          <wp:inline distT="0" distB="0" distL="0" distR="0">
            <wp:extent cx="2539409" cy="12954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295702"/>
                    </a:xfrm>
                    <a:prstGeom prst="rect">
                      <a:avLst/>
                    </a:prstGeom>
                    <a:noFill/>
                    <a:ln>
                      <a:noFill/>
                    </a:ln>
                  </pic:spPr>
                </pic:pic>
              </a:graphicData>
            </a:graphic>
          </wp:inline>
        </w:drawing>
      </w:r>
      <w:bookmarkEnd w:id="0"/>
    </w:p>
    <w:sectPr w:rsidR="001C0B78" w:rsidRPr="00BC07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70331A"/>
    <w:multiLevelType w:val="hybridMultilevel"/>
    <w:tmpl w:val="3FA27E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3B"/>
    <w:rsid w:val="00072A37"/>
    <w:rsid w:val="001A2086"/>
    <w:rsid w:val="001C0B78"/>
    <w:rsid w:val="006C59D2"/>
    <w:rsid w:val="00965FCB"/>
    <w:rsid w:val="009C0177"/>
    <w:rsid w:val="00A3493B"/>
    <w:rsid w:val="00BC0729"/>
    <w:rsid w:val="00F25C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A3493B"/>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A349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493B"/>
    <w:rPr>
      <w:rFonts w:ascii="Tahoma" w:hAnsi="Tahoma" w:cs="Tahoma"/>
      <w:sz w:val="16"/>
      <w:szCs w:val="16"/>
    </w:rPr>
  </w:style>
  <w:style w:type="paragraph" w:styleId="ListeParagraf">
    <w:name w:val="List Paragraph"/>
    <w:basedOn w:val="Normal"/>
    <w:uiPriority w:val="34"/>
    <w:qFormat/>
    <w:rsid w:val="00072A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A3493B"/>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A349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493B"/>
    <w:rPr>
      <w:rFonts w:ascii="Tahoma" w:hAnsi="Tahoma" w:cs="Tahoma"/>
      <w:sz w:val="16"/>
      <w:szCs w:val="16"/>
    </w:rPr>
  </w:style>
  <w:style w:type="paragraph" w:styleId="ListeParagraf">
    <w:name w:val="List Paragraph"/>
    <w:basedOn w:val="Normal"/>
    <w:uiPriority w:val="34"/>
    <w:qFormat/>
    <w:rsid w:val="00072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1229</Words>
  <Characters>7006</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meryemmetin</dc:creator>
  <cp:lastModifiedBy>meryemmetin</cp:lastModifiedBy>
  <cp:revision>3</cp:revision>
  <dcterms:created xsi:type="dcterms:W3CDTF">2020-10-29T03:52:00Z</dcterms:created>
  <dcterms:modified xsi:type="dcterms:W3CDTF">2020-10-29T04:06:00Z</dcterms:modified>
</cp:coreProperties>
</file>